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исследования проблем дополнительного образования детей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исследования проблем дополнительного образования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«Современные исследования проблем дополнительного образования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исследования проблем дополнительного образования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«Современные исследования проблем дополнительного образования детей» относится к обязательной части, является дисциплиной Блока Б1. «Дисциплины (модули)». Модуль "Теория и практика исследований в  дополнительном образовании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530.56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дополнительного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Профилизация образования средствами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Социализация детей в условиях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Сетевое взаимодействие общего, дополнительного 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дополнительного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социального заказа на дополнительное образование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Интеграция общего и дополнительного образования как фактор развития образовательных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Сопровождение одаренных детей в региональном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техносферы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18.6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дополнительного образования детей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общего образования в современной социально-экономической ситуации  России. Роль дополнительного образования детей в модернизации общего образования. Тенденции развития дополнительного образования детей в Российской Федерации. Современные проблемы развития дополнительного образования детей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Профилизация образования средствами дополнительного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профилизации образования на основе усиления потенциала дополнительного образования детей. Модели профилизации образования средствами дополнительного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Социализация детей в условиях дополнительного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социализации детей в условиях дополнительного образования. Модели успешной социализации детей в условиях дополнительного образования детей.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Сетевое взаимодействие общего, дополнительного и профессионального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сетевого взаимодействия общего, дополнительного и профессионального образования. Существующие модели сетевого взаимодействия общего и дополнительного образования. Перспективные модели сетевого взаимодействия общего и дополнительного 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дополнительного образования детей в Российской Федерации</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"Проблемы дополнительного образования детей в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социального заказа на дополнительное образование детей</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социального заказа на дополнительное образование детей.</w:t>
            </w:r>
          </w:p>
          <w:p>
            <w:pPr>
              <w:jc w:val="left"/>
              <w:spacing w:after="0" w:line="240" w:lineRule="auto"/>
              <w:rPr>
                <w:sz w:val="24"/>
                <w:szCs w:val="24"/>
              </w:rPr>
            </w:pPr>
            <w:r>
              <w:rPr>
                <w:rFonts w:ascii="Times New Roman" w:hAnsi="Times New Roman" w:cs="Times New Roman"/>
                <w:color w:val="#000000"/>
                <w:sz w:val="24"/>
                <w:szCs w:val="24"/>
              </w:rPr>
              <w:t> 2. Особенности изучения государственного заказа на дополнительное образование детей.</w:t>
            </w:r>
          </w:p>
          <w:p>
            <w:pPr>
              <w:jc w:val="left"/>
              <w:spacing w:after="0" w:line="240" w:lineRule="auto"/>
              <w:rPr>
                <w:sz w:val="24"/>
                <w:szCs w:val="24"/>
              </w:rPr>
            </w:pPr>
            <w:r>
              <w:rPr>
                <w:rFonts w:ascii="Times New Roman" w:hAnsi="Times New Roman" w:cs="Times New Roman"/>
                <w:color w:val="#000000"/>
                <w:sz w:val="24"/>
                <w:szCs w:val="24"/>
              </w:rPr>
              <w:t> 3. Особенности изучения общественного заказа на дополнительное образование детей.</w:t>
            </w:r>
          </w:p>
          <w:p>
            <w:pPr>
              <w:jc w:val="left"/>
              <w:spacing w:after="0" w:line="240" w:lineRule="auto"/>
              <w:rPr>
                <w:sz w:val="24"/>
                <w:szCs w:val="24"/>
              </w:rPr>
            </w:pPr>
            <w:r>
              <w:rPr>
                <w:rFonts w:ascii="Times New Roman" w:hAnsi="Times New Roman" w:cs="Times New Roman"/>
                <w:color w:val="#000000"/>
                <w:sz w:val="24"/>
                <w:szCs w:val="24"/>
              </w:rPr>
              <w:t> 4. Особенности изучения личностного заказа на дополнительное образование детей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Интеграция общего и дополнительного образования как фактор развития образовательных систем</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интеграции общего и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2. Модель становления дополнительного образованиядетей фактором развития региональной системы образования.</w:t>
            </w:r>
          </w:p>
          <w:p>
            <w:pPr>
              <w:jc w:val="left"/>
              <w:spacing w:after="0" w:line="240" w:lineRule="auto"/>
              <w:rPr>
                <w:sz w:val="24"/>
                <w:szCs w:val="24"/>
              </w:rPr>
            </w:pPr>
            <w:r>
              <w:rPr>
                <w:rFonts w:ascii="Times New Roman" w:hAnsi="Times New Roman" w:cs="Times New Roman"/>
                <w:color w:val="#000000"/>
                <w:sz w:val="24"/>
                <w:szCs w:val="24"/>
              </w:rPr>
              <w:t> 3. Модель интеграции дополнительного и других сфер образования в рамках муниципального образовательного пространства.</w:t>
            </w:r>
          </w:p>
          <w:p>
            <w:pPr>
              <w:jc w:val="left"/>
              <w:spacing w:after="0" w:line="240" w:lineRule="auto"/>
              <w:rPr>
                <w:sz w:val="24"/>
                <w:szCs w:val="24"/>
              </w:rPr>
            </w:pPr>
            <w:r>
              <w:rPr>
                <w:rFonts w:ascii="Times New Roman" w:hAnsi="Times New Roman" w:cs="Times New Roman"/>
                <w:color w:val="#000000"/>
                <w:sz w:val="24"/>
                <w:szCs w:val="24"/>
              </w:rPr>
              <w:t> 4. Модель развития учреждения дополнительного образования детей за счёт возможностей интеграции общего и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5. Дополнительное образование как фактор развития  воспитательной системы общеобразовательной школы.</w:t>
            </w:r>
          </w:p>
          <w:p>
            <w:pPr>
              <w:jc w:val="left"/>
              <w:spacing w:after="0" w:line="240" w:lineRule="auto"/>
              <w:rPr>
                <w:sz w:val="24"/>
                <w:szCs w:val="24"/>
              </w:rPr>
            </w:pPr>
            <w:r>
              <w:rPr>
                <w:rFonts w:ascii="Times New Roman" w:hAnsi="Times New Roman" w:cs="Times New Roman"/>
                <w:color w:val="#000000"/>
                <w:sz w:val="24"/>
                <w:szCs w:val="24"/>
              </w:rPr>
              <w:t> 6. Модель развития дошкольного образовательного учреждения на основе интеграции дополнительного и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7.  Проблемы интеграции формального и неформального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Сопровождение одаренных детей в региональном образовательном пространстве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сущность сопровождения одаренныхдетей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2. Отечественный опыт сопровождения одаренных 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3. Нормативно-правовое обеспечение государственной политики России в отношении одаренных детей и талантливой молодежи.</w:t>
            </w:r>
          </w:p>
          <w:p>
            <w:pPr>
              <w:jc w:val="left"/>
              <w:spacing w:after="0" w:line="240" w:lineRule="auto"/>
              <w:rPr>
                <w:sz w:val="24"/>
                <w:szCs w:val="24"/>
              </w:rPr>
            </w:pPr>
            <w:r>
              <w:rPr>
                <w:rFonts w:ascii="Times New Roman" w:hAnsi="Times New Roman" w:cs="Times New Roman"/>
                <w:color w:val="#000000"/>
                <w:sz w:val="24"/>
                <w:szCs w:val="24"/>
              </w:rPr>
              <w:t> 4. Модель сопровождения одаренных детей в региональном образовательном пространстве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техносферы дополнительного образования детей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техносферы как новой реальности современного мира.</w:t>
            </w:r>
          </w:p>
          <w:p>
            <w:pPr>
              <w:jc w:val="left"/>
              <w:spacing w:after="0" w:line="240" w:lineRule="auto"/>
              <w:rPr>
                <w:sz w:val="24"/>
                <w:szCs w:val="24"/>
              </w:rPr>
            </w:pPr>
            <w:r>
              <w:rPr>
                <w:rFonts w:ascii="Times New Roman" w:hAnsi="Times New Roman" w:cs="Times New Roman"/>
                <w:color w:val="#000000"/>
                <w:sz w:val="24"/>
                <w:szCs w:val="24"/>
              </w:rPr>
              <w:t> 2. Образование человека в аспекте требований современной техносферы.</w:t>
            </w:r>
          </w:p>
          <w:p>
            <w:pPr>
              <w:jc w:val="left"/>
              <w:spacing w:after="0" w:line="240" w:lineRule="auto"/>
              <w:rPr>
                <w:sz w:val="24"/>
                <w:szCs w:val="24"/>
              </w:rPr>
            </w:pPr>
            <w:r>
              <w:rPr>
                <w:rFonts w:ascii="Times New Roman" w:hAnsi="Times New Roman" w:cs="Times New Roman"/>
                <w:color w:val="#000000"/>
                <w:sz w:val="24"/>
                <w:szCs w:val="24"/>
              </w:rPr>
              <w:t> 3. Модель развития техносферы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исследования проблем дополнительного образования детей»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Дивлет-Кильдеева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http://www.iprbookshop.ru/51691.html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2024-2025_ФГОС3++2024_Маг-ОФО-ПО(ДО)(24)_plx_Современные исследования проблем дополнительного образования детей</dc:title>
  <dc:creator>FastReport.NET</dc:creator>
</cp:coreProperties>
</file>